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E1" w:rsidRDefault="00562A5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</w:t>
      </w:r>
    </w:p>
    <w:p w:rsidR="00771DE1" w:rsidRDefault="00562A5A">
      <w:pPr>
        <w:pStyle w:val="Textoindependiente"/>
        <w:spacing w:before="120" w:after="0"/>
        <w:rPr>
          <w:rFonts w:cs="Arial"/>
          <w:b/>
          <w:bCs/>
        </w:rPr>
      </w:pPr>
      <w:r>
        <w:rPr>
          <w:rFonts w:cs="Arial"/>
          <w:b/>
          <w:bCs/>
        </w:rPr>
        <w:t>Procedimiento nº 3781</w:t>
      </w:r>
    </w:p>
    <w:p w:rsidR="00771DE1" w:rsidRDefault="00771DE1">
      <w:pPr>
        <w:pStyle w:val="Textoindependiente"/>
        <w:spacing w:before="120" w:after="0"/>
        <w:rPr>
          <w:rFonts w:cs="Arial"/>
          <w:b/>
          <w:bCs/>
        </w:rPr>
      </w:pPr>
    </w:p>
    <w:p w:rsidR="00771DE1" w:rsidRDefault="00562A5A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RESPONSABLE DEL CUMPLIMIENTO DEL PRINCIPIO DE «NO CAUSAR PERJUICIO SIGNIFICATIVO» A LOS SEIS OBJETIVOS MEDIOAMBIENTALES EN EL SENTIDO DEL ARTÍCULO 17 DEL REGLAMENTO (UE) 2020/8521 (DNSH)</w:t>
      </w:r>
    </w:p>
    <w:p w:rsidR="00771DE1" w:rsidRDefault="00771DE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3113"/>
        <w:gridCol w:w="5381"/>
      </w:tblGrid>
      <w:tr w:rsidR="00771DE1">
        <w:tc>
          <w:tcPr>
            <w:tcW w:w="3113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Identificación de la </w:t>
            </w:r>
            <w:r>
              <w:rPr>
                <w:rFonts w:ascii="Arial" w:eastAsia="Calibri" w:hAnsi="Arial" w:cs="Arial"/>
                <w:sz w:val="20"/>
                <w:szCs w:val="20"/>
              </w:rPr>
              <w:t>actuación</w:t>
            </w:r>
          </w:p>
        </w:tc>
        <w:tc>
          <w:tcPr>
            <w:tcW w:w="5380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Ayudas para la elaboración del Libro del edificio y para la redacción de proyectos de rehabilitación integral de los edificios existentes.</w:t>
            </w:r>
          </w:p>
        </w:tc>
      </w:tr>
      <w:tr w:rsidR="00771DE1">
        <w:tc>
          <w:tcPr>
            <w:tcW w:w="3113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Componente del PRTR al que pertenece la actividad</w:t>
            </w:r>
          </w:p>
        </w:tc>
        <w:tc>
          <w:tcPr>
            <w:tcW w:w="5380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Componente 2 Plan de Rehabilitación de vivienda y regene</w:t>
            </w:r>
            <w:r>
              <w:rPr>
                <w:rFonts w:ascii="Arial" w:eastAsia="Calibri" w:hAnsi="Arial" w:cs="Arial"/>
                <w:sz w:val="20"/>
                <w:szCs w:val="20"/>
              </w:rPr>
              <w:t>ración urbana.</w:t>
            </w:r>
          </w:p>
        </w:tc>
      </w:tr>
      <w:tr w:rsidR="00771DE1">
        <w:tc>
          <w:tcPr>
            <w:tcW w:w="3113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Medida (Reforma o Inversión) del Componente PRTR al que pertenece la actividad </w:t>
            </w:r>
          </w:p>
        </w:tc>
        <w:tc>
          <w:tcPr>
            <w:tcW w:w="5380" w:type="dxa"/>
          </w:tcPr>
          <w:p w:rsidR="00771DE1" w:rsidRDefault="00562A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C2.I1 Programas de rehabilitación para la recuperación económica y social en entornos residenciales.</w:t>
            </w:r>
          </w:p>
          <w:p w:rsidR="00771DE1" w:rsidRDefault="00771D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DE1" w:rsidRDefault="00771DE1">
      <w:pPr>
        <w:jc w:val="both"/>
        <w:rPr>
          <w:rFonts w:ascii="Arial" w:hAnsi="Arial" w:cs="Arial"/>
          <w:sz w:val="20"/>
          <w:szCs w:val="20"/>
        </w:rPr>
      </w:pPr>
    </w:p>
    <w:p w:rsidR="00771DE1" w:rsidRDefault="00562A5A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D/Dª ………………………………… con DNI nº …………………………………, </w:t>
      </w:r>
      <w:r>
        <w:rPr>
          <w:rFonts w:ascii="Arial" w:hAnsi="Arial" w:cs="Arial"/>
          <w:i/>
          <w:iCs/>
          <w:sz w:val="20"/>
          <w:szCs w:val="20"/>
          <w:lang w:eastAsia="es-ES"/>
        </w:rPr>
        <w:t xml:space="preserve">Titulación </w:t>
      </w:r>
      <w:r>
        <w:rPr>
          <w:rFonts w:ascii="Arial" w:hAnsi="Arial" w:cs="Arial"/>
          <w:i/>
          <w:iCs/>
          <w:sz w:val="20"/>
          <w:szCs w:val="20"/>
          <w:lang w:eastAsia="es-ES"/>
        </w:rPr>
        <w:t>del técnico</w:t>
      </w:r>
      <w:r>
        <w:rPr>
          <w:rFonts w:ascii="Arial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con Nº de Colegiación………...., del colegio oficial de ………………………………… en nombre y representación de la entidad ………………………………… con NIF ………………………………….</w:t>
      </w:r>
    </w:p>
    <w:p w:rsidR="00771DE1" w:rsidRDefault="00562A5A">
      <w:pPr>
        <w:spacing w:after="120"/>
        <w:rPr>
          <w:b/>
          <w:lang w:eastAsia="es-ES"/>
        </w:rPr>
      </w:pPr>
      <w:r>
        <w:rPr>
          <w:b/>
          <w:lang w:eastAsia="es-ES"/>
        </w:rPr>
        <w:t>DECLARA</w:t>
      </w:r>
    </w:p>
    <w:p w:rsidR="00771DE1" w:rsidRDefault="00562A5A">
      <w:pPr>
        <w:spacing w:after="12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Que es autor/a del </w:t>
      </w:r>
      <w:bookmarkStart w:id="1" w:name="_Hlk93577773"/>
      <w:r>
        <w:rPr>
          <w:rFonts w:ascii="Arial" w:hAnsi="Arial" w:cs="Arial"/>
          <w:i/>
          <w:iCs/>
          <w:sz w:val="20"/>
          <w:szCs w:val="20"/>
          <w:lang w:eastAsia="es-ES"/>
        </w:rPr>
        <w:t>proyecto, memoria o libro del edificio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bookmarkEnd w:id="1"/>
      <w:r>
        <w:rPr>
          <w:rFonts w:ascii="Arial" w:hAnsi="Arial" w:cs="Arial"/>
          <w:sz w:val="20"/>
          <w:szCs w:val="20"/>
          <w:lang w:eastAsia="es-ES"/>
        </w:rPr>
        <w:t>“………………………” presentado para la s</w:t>
      </w:r>
      <w:r>
        <w:rPr>
          <w:rFonts w:ascii="Arial" w:hAnsi="Arial" w:cs="Arial"/>
          <w:sz w:val="20"/>
          <w:szCs w:val="20"/>
          <w:lang w:eastAsia="es-ES"/>
        </w:rPr>
        <w:t>olicitud de las ayudas correspondientes a la citada convocatoria en el marco del Plan de Recuperación, Transformación y Resiliencia (PRTR).</w:t>
      </w:r>
    </w:p>
    <w:p w:rsidR="00771DE1" w:rsidRDefault="00562A5A">
      <w:pPr>
        <w:spacing w:after="120"/>
        <w:jc w:val="both"/>
        <w:rPr>
          <w:rFonts w:ascii="Arial" w:hAnsi="Arial" w:cs="Arial"/>
          <w:sz w:val="20"/>
          <w:szCs w:val="20"/>
          <w:lang w:eastAsia="es-ES"/>
        </w:rPr>
      </w:pPr>
      <w:bookmarkStart w:id="2" w:name="_Hlk93501220"/>
      <w:r>
        <w:rPr>
          <w:rFonts w:ascii="Arial" w:hAnsi="Arial" w:cs="Arial"/>
          <w:sz w:val="20"/>
          <w:szCs w:val="20"/>
          <w:lang w:eastAsia="es-ES"/>
        </w:rPr>
        <w:t xml:space="preserve">Que dicho </w:t>
      </w:r>
      <w:r>
        <w:rPr>
          <w:rFonts w:ascii="Arial" w:hAnsi="Arial" w:cs="Arial"/>
          <w:i/>
          <w:iCs/>
          <w:sz w:val="20"/>
          <w:szCs w:val="20"/>
          <w:lang w:eastAsia="es-ES"/>
        </w:rPr>
        <w:t>proyecto o libro del edificio</w:t>
      </w:r>
      <w:r>
        <w:rPr>
          <w:rFonts w:ascii="Arial" w:hAnsi="Arial" w:cs="Arial"/>
          <w:sz w:val="20"/>
          <w:szCs w:val="20"/>
          <w:lang w:eastAsia="es-ES"/>
        </w:rPr>
        <w:t xml:space="preserve"> presentado para la solicitud de las ayudas y las actuaciones que de él se derivan dentro del referido programa cumplen con </w:t>
      </w:r>
      <w:bookmarkEnd w:id="2"/>
      <w:r>
        <w:rPr>
          <w:rFonts w:ascii="Arial" w:hAnsi="Arial" w:cs="Arial"/>
          <w:sz w:val="20"/>
          <w:szCs w:val="20"/>
          <w:lang w:eastAsia="es-ES"/>
        </w:rPr>
        <w:t>lo siguiente:</w:t>
      </w:r>
    </w:p>
    <w:p w:rsidR="00771DE1" w:rsidRDefault="00562A5A">
      <w:pPr>
        <w:pStyle w:val="aVietasincolor"/>
        <w:spacing w:before="0" w:after="120"/>
      </w:pPr>
      <w:r>
        <w:rPr>
          <w:rFonts w:ascii="Arial" w:hAnsi="Arial" w:cs="Arial"/>
          <w:color w:val="auto"/>
          <w:sz w:val="20"/>
        </w:rPr>
        <w:t>Las actividades que se desarrollan en el mismo no ocasionan un perjuicio significativo a los siguientes objetivos medi</w:t>
      </w:r>
      <w:r>
        <w:rPr>
          <w:rFonts w:ascii="Arial" w:hAnsi="Arial" w:cs="Arial"/>
          <w:color w:val="auto"/>
          <w:sz w:val="20"/>
        </w:rPr>
        <w:t xml:space="preserve">oambientales, según el artículo 17 del </w:t>
      </w:r>
      <w:hyperlink r:id="rId10">
        <w:r>
          <w:rPr>
            <w:rFonts w:ascii="Arial" w:hAnsi="Arial" w:cs="Arial"/>
            <w:color w:val="auto"/>
            <w:sz w:val="20"/>
          </w:rPr>
          <w:t>Reglamento (UE) 2020/852 relativo al establecimiento de un marco para facilitar las inversiones sostenibles</w:t>
        </w:r>
      </w:hyperlink>
      <w:r>
        <w:rPr>
          <w:rFonts w:ascii="Arial" w:hAnsi="Arial" w:cs="Arial"/>
          <w:color w:val="auto"/>
          <w:sz w:val="20"/>
        </w:rPr>
        <w:t xml:space="preserve"> mediante la implantación de un sistema d</w:t>
      </w:r>
      <w:r>
        <w:rPr>
          <w:rFonts w:ascii="Arial" w:hAnsi="Arial" w:cs="Arial"/>
          <w:color w:val="auto"/>
          <w:sz w:val="20"/>
        </w:rPr>
        <w:t>e clasificación (o «taxonomía») de las actividades económicas medioambientalmente sostenibles</w:t>
      </w:r>
      <w:r>
        <w:t xml:space="preserve">: </w:t>
      </w:r>
    </w:p>
    <w:p w:rsidR="00771DE1" w:rsidRDefault="00562A5A">
      <w:pPr>
        <w:pStyle w:val="1Numsincolor"/>
        <w:tabs>
          <w:tab w:val="left" w:pos="1134"/>
        </w:tabs>
        <w:spacing w:before="0" w:after="120"/>
        <w:ind w:left="1134" w:hanging="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Mitigación del cambio climático.</w:t>
      </w:r>
    </w:p>
    <w:p w:rsidR="00771DE1" w:rsidRDefault="00562A5A">
      <w:pPr>
        <w:pStyle w:val="1Numsincolor"/>
        <w:tabs>
          <w:tab w:val="left" w:pos="1134"/>
        </w:tabs>
        <w:ind w:left="1134" w:hanging="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Adaptación al cambio climático.</w:t>
      </w:r>
    </w:p>
    <w:p w:rsidR="00771DE1" w:rsidRDefault="00562A5A">
      <w:pPr>
        <w:pStyle w:val="1Numsincolor"/>
        <w:tabs>
          <w:tab w:val="left" w:pos="1134"/>
        </w:tabs>
        <w:ind w:left="1134" w:hanging="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Uso sostenible y protección de los recursos hídricos y marinos.</w:t>
      </w:r>
    </w:p>
    <w:p w:rsidR="00771DE1" w:rsidRDefault="00562A5A">
      <w:pPr>
        <w:pStyle w:val="1Numsincolor"/>
        <w:tabs>
          <w:tab w:val="left" w:pos="1134"/>
        </w:tabs>
        <w:ind w:left="1134" w:hanging="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Economía circular, incluidos la</w:t>
      </w:r>
      <w:r>
        <w:rPr>
          <w:rFonts w:ascii="Arial" w:hAnsi="Arial" w:cs="Arial"/>
          <w:color w:val="auto"/>
          <w:sz w:val="20"/>
        </w:rPr>
        <w:t xml:space="preserve"> prevención y el reciclado de residuos.</w:t>
      </w:r>
    </w:p>
    <w:p w:rsidR="00771DE1" w:rsidRDefault="00562A5A">
      <w:pPr>
        <w:pStyle w:val="1Numsincolor"/>
        <w:tabs>
          <w:tab w:val="left" w:pos="1134"/>
        </w:tabs>
        <w:ind w:left="1134" w:hanging="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Prevención y control de la contaminación a la atmósfera, el agua o el suelo.</w:t>
      </w:r>
    </w:p>
    <w:p w:rsidR="00771DE1" w:rsidRDefault="00562A5A">
      <w:pPr>
        <w:pStyle w:val="1Numsincolor"/>
        <w:tabs>
          <w:tab w:val="left" w:pos="1134"/>
        </w:tabs>
        <w:ind w:left="1134" w:hanging="5"/>
      </w:pPr>
      <w:r>
        <w:rPr>
          <w:rFonts w:ascii="Arial" w:hAnsi="Arial" w:cs="Arial"/>
          <w:color w:val="auto"/>
          <w:sz w:val="20"/>
        </w:rPr>
        <w:t>Protección y restauración de la biodiversidad y los ecosistemas</w:t>
      </w:r>
      <w:r>
        <w:t>.</w:t>
      </w:r>
    </w:p>
    <w:p w:rsidR="00771DE1" w:rsidRDefault="00562A5A">
      <w:pPr>
        <w:pStyle w:val="aVietasincolo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Las actuaciones cumplen con los requisitos establecidos en el Real Decreto</w:t>
      </w:r>
      <w:r>
        <w:rPr>
          <w:rFonts w:ascii="Arial" w:hAnsi="Arial" w:cs="Arial"/>
          <w:color w:val="auto"/>
          <w:sz w:val="20"/>
        </w:rPr>
        <w:t xml:space="preserve"> 853/2021 y en la Orden de la convocatoria de estas ayudas adecuándose a las características y condiciones</w:t>
      </w:r>
      <w:r>
        <w:rPr>
          <w:color w:val="auto"/>
        </w:rPr>
        <w:t xml:space="preserve"> específicas </w:t>
      </w:r>
      <w:r>
        <w:rPr>
          <w:rFonts w:ascii="Arial" w:hAnsi="Arial" w:cs="Arial"/>
          <w:color w:val="auto"/>
          <w:sz w:val="20"/>
        </w:rPr>
        <w:t xml:space="preserve">fijadas en el </w:t>
      </w:r>
      <w:hyperlink r:id="rId11">
        <w:r>
          <w:rPr>
            <w:rFonts w:ascii="Arial" w:hAnsi="Arial" w:cs="Arial"/>
            <w:color w:val="auto"/>
            <w:sz w:val="20"/>
            <w:u w:val="single"/>
          </w:rPr>
          <w:t>componente 2</w:t>
        </w:r>
      </w:hyperlink>
      <w:r>
        <w:rPr>
          <w:rFonts w:ascii="Arial" w:hAnsi="Arial" w:cs="Arial"/>
          <w:color w:val="auto"/>
          <w:sz w:val="20"/>
        </w:rPr>
        <w:t xml:space="preserve"> r</w:t>
      </w:r>
      <w:r>
        <w:rPr>
          <w:rFonts w:ascii="Arial" w:hAnsi="Arial" w:cs="Arial"/>
          <w:color w:val="auto"/>
          <w:sz w:val="20"/>
        </w:rPr>
        <w:t>eflejadas en el Plan de Recuperación, Transformación y Resiliencia para cada uno de los objetivos medioambientales:</w:t>
      </w:r>
    </w:p>
    <w:tbl>
      <w:tblPr>
        <w:tblStyle w:val="Tablaconcuadrcula2"/>
        <w:tblpPr w:leftFromText="141" w:rightFromText="141" w:vertAnchor="text" w:horzAnchor="margin" w:tblpXSpec="center" w:tblpY="60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7088"/>
      </w:tblGrid>
      <w:tr w:rsidR="00771DE1">
        <w:trPr>
          <w:tblHeader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  <w:shd w:val="clear" w:color="auto" w:fill="0989B1"/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FFFF"/>
                <w:sz w:val="18"/>
                <w:szCs w:val="18"/>
                <w:lang w:eastAsia="es-ES"/>
              </w:rPr>
              <w:lastRenderedPageBreak/>
              <w:t>Objetivo Medioambiental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  <w:shd w:val="clear" w:color="auto" w:fill="0989B1"/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FFFF"/>
                <w:sz w:val="18"/>
                <w:szCs w:val="18"/>
                <w:lang w:eastAsia="es-ES"/>
              </w:rPr>
              <w:t>Condiciones específicas a cumplir por las actuaciones</w:t>
            </w:r>
          </w:p>
        </w:tc>
      </w:tr>
      <w:tr w:rsidR="00771DE1">
        <w:trPr>
          <w:trHeight w:val="457"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1. Mitigación del cambio climático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Se mejorará la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 xml:space="preserve">eficiencia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energética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conforme a lo establecido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Directiva 2010/31/EU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. Esto contribuirá a menores consumos y, por tanto, a unas menores emisiones GEI.*</w:t>
            </w:r>
          </w:p>
        </w:tc>
      </w:tr>
      <w:tr w:rsidR="00771DE1">
        <w:trPr>
          <w:trHeight w:val="410"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2. Adaptación al cambio climático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No se definen condiciones específicas, las actuaciones suponen una mejora en este objetivo (mejora condiciones edificaciones y entorno).  </w:t>
            </w:r>
          </w:p>
        </w:tc>
      </w:tr>
      <w:tr w:rsidR="00771DE1">
        <w:trPr>
          <w:trHeight w:val="408"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3. Recursos hídricos y marinos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No se definen condiciones específicas, dado que las actuaciones no deben generar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efectos significativos sobre este objetivo.</w:t>
            </w:r>
          </w:p>
        </w:tc>
      </w:tr>
      <w:tr w:rsidR="00771DE1">
        <w:trPr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4. Economía circular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95841991"/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Condiciones específicas a nivel proyecto: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eastAsia="es-ES"/>
              </w:rPr>
              <w:t>*</w:t>
            </w:r>
          </w:p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i. Al menos el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70% (en peso) de los residuos de construcción y demolición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no peligrosos (excluyendo el material natural mencionado en la categoría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17 05 04 en la Lista europea de residuos establecida por la Decisión 2000/532 /EC) generados </w:t>
            </w:r>
            <w:bookmarkEnd w:id="3"/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en el sitio de construcción se preparará para su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reutilización, reciclaje y recuperación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 otros materiales, incluidas las operaciones de relleno utilizando resid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uos para sustituir otros materiales, de acuerdo con la jerarquía de residuos y el Protocolo de gestión de residuos de construcción y demolición de la UE.</w:t>
            </w:r>
          </w:p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ii. Los operadores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deberán limitar la generación de residuos en los procesos relacionados con la const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rucción y demolición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, de conformidad con el Protocolo de gestión de residuos de construcción y demolición de la UE y teniendo en cuenta las mejores técnicas disponibles y utilizando la demolición selectiva para permitir la eliminación y manipulación segura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 sustancias peligrosas y facilitar la reutilización y reciclaje de alta calidad mediante la eliminación selectiva de materiales, utilizando los sistemas de clasificación disponibles para residuos de construcción y demolición. Asimismo, se establecerá qu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e la demolición se lleve a cabo preferiblemente de forma selectiva y la clasificación se realizará de forma preferente en el lugar de generación de los residuos.</w:t>
            </w:r>
          </w:p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iii. Los diseños de los edificios y las técnicas de construcción apoyarán la circularidad y, e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n particular, demostrarán, con referencia a la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>ISO 20887 u otras normas para evaluar la capacidad de desmontaje o adaptabilidad de los edificios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, cómo están diseñados para ser más eficientes en el uso de recursos, adaptables, flexibles y desmontables para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permitir la reutilización y reciclaje.”</w:t>
            </w:r>
          </w:p>
        </w:tc>
      </w:tr>
      <w:tr w:rsidR="00771DE1">
        <w:trPr>
          <w:trHeight w:val="1224"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5. Contaminación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No se esperan efectos significativos.</w:t>
            </w:r>
          </w:p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Los componentes y materiales de construcción utilizados en el desarrollo de las actuaciones previstas en esta medida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 xml:space="preserve"> no contendrán amianto ni sustancias muy preocupantes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identificadas a partir de la lista de sustancias sujetas a autorización que figura en el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s-ES"/>
              </w:rPr>
              <w:t xml:space="preserve"> anexo XIV del Reglamento (CE) 1907/2006. *</w:t>
            </w:r>
          </w:p>
        </w:tc>
      </w:tr>
      <w:tr w:rsidR="00771DE1">
        <w:trPr>
          <w:trHeight w:val="366"/>
          <w:jc w:val="center"/>
        </w:trPr>
        <w:tc>
          <w:tcPr>
            <w:tcW w:w="2121" w:type="dxa"/>
            <w:tcBorders>
              <w:top w:val="single" w:sz="6" w:space="0" w:color="0989B1"/>
              <w:left w:val="single" w:sz="4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6. Biodiversidad y los ecosistemas</w:t>
            </w:r>
          </w:p>
        </w:tc>
        <w:tc>
          <w:tcPr>
            <w:tcW w:w="7087" w:type="dxa"/>
            <w:tcBorders>
              <w:top w:val="single" w:sz="6" w:space="0" w:color="0989B1"/>
              <w:left w:val="single" w:sz="6" w:space="0" w:color="0989B1"/>
              <w:bottom w:val="single" w:sz="6" w:space="0" w:color="0989B1"/>
              <w:right w:val="single" w:sz="6" w:space="0" w:color="0989B1"/>
            </w:tcBorders>
          </w:tcPr>
          <w:p w:rsidR="00771DE1" w:rsidRDefault="00562A5A">
            <w:pPr>
              <w:tabs>
                <w:tab w:val="left" w:pos="155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No hay definidas condiciones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específicas, ya que las actuaciones no deben suponer impactos directos o indirectos negativos en la biodiversidad o ecosistemas.</w:t>
            </w:r>
          </w:p>
        </w:tc>
      </w:tr>
      <w:tr w:rsidR="00771DE1">
        <w:trPr>
          <w:trHeight w:val="467"/>
          <w:jc w:val="center"/>
        </w:trPr>
        <w:tc>
          <w:tcPr>
            <w:tcW w:w="9208" w:type="dxa"/>
            <w:gridSpan w:val="2"/>
            <w:tcBorders>
              <w:top w:val="single" w:sz="6" w:space="0" w:color="0989B1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71DE1" w:rsidRDefault="00562A5A">
            <w:pPr>
              <w:spacing w:before="60" w:after="60" w:line="240" w:lineRule="auto"/>
              <w:ind w:left="212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 xml:space="preserve">(*)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Requisitos del programa establecidos en el Real Decreto 853/2021.</w:t>
            </w:r>
          </w:p>
        </w:tc>
      </w:tr>
    </w:tbl>
    <w:p w:rsidR="00771DE1" w:rsidRDefault="00562A5A">
      <w:pPr>
        <w:pStyle w:val="aVietasincolor"/>
        <w:rPr>
          <w:rFonts w:ascii="Arial" w:hAnsi="Arial" w:cs="Arial"/>
          <w:color w:val="auto"/>
          <w:sz w:val="20"/>
        </w:rPr>
      </w:pPr>
      <w:r>
        <w:rPr>
          <w:rStyle w:val="aVietasincolorCar"/>
          <w:rFonts w:ascii="Arial" w:hAnsi="Arial" w:cs="Arial"/>
          <w:color w:val="auto"/>
          <w:sz w:val="20"/>
        </w:rPr>
        <w:t xml:space="preserve">Las actuaciones objeto de esta declaración responsable </w:t>
      </w:r>
      <w:r>
        <w:rPr>
          <w:rStyle w:val="aVietasincolorCar"/>
          <w:rFonts w:ascii="Arial" w:hAnsi="Arial" w:cs="Arial"/>
          <w:color w:val="auto"/>
          <w:sz w:val="20"/>
        </w:rPr>
        <w:t>cumplirán la normativa vigente relacionada con los objetivos del principio DNSH que resulte de aplicación</w:t>
      </w:r>
      <w:r>
        <w:rPr>
          <w:rFonts w:ascii="Arial" w:hAnsi="Arial" w:cs="Arial"/>
          <w:color w:val="auto"/>
          <w:sz w:val="20"/>
        </w:rPr>
        <w:t>.</w:t>
      </w:r>
    </w:p>
    <w:p w:rsidR="00771DE1" w:rsidRDefault="00562A5A">
      <w:pPr>
        <w:pStyle w:val="aVietasincolo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Las actuaciones descritas en el proyecto y en el estudio de gestión de residuos que lo acompaña cumplen con los criterios específicos establecidos pa</w:t>
      </w:r>
      <w:r>
        <w:rPr>
          <w:rFonts w:ascii="Arial" w:hAnsi="Arial" w:cs="Arial"/>
          <w:color w:val="auto"/>
          <w:sz w:val="20"/>
        </w:rPr>
        <w:t>ra la evaluación sustantiva del objetivo de economía circular descritos en el apartado b), de acuerdo con lo siguiente:</w:t>
      </w:r>
    </w:p>
    <w:p w:rsidR="00771DE1" w:rsidRDefault="00562A5A">
      <w:pPr>
        <w:pStyle w:val="Vietaa"/>
        <w:numPr>
          <w:ilvl w:val="0"/>
          <w:numId w:val="4"/>
        </w:numPr>
        <w:rPr>
          <w:rFonts w:ascii="Arial" w:hAnsi="Arial"/>
          <w:color w:val="auto"/>
          <w:sz w:val="20"/>
          <w:lang w:val="es-ES"/>
        </w:rPr>
      </w:pPr>
      <w:r>
        <w:rPr>
          <w:rFonts w:ascii="Arial" w:hAnsi="Arial"/>
          <w:color w:val="auto"/>
          <w:sz w:val="20"/>
          <w:lang w:val="es-ES"/>
        </w:rPr>
        <w:t>La rehabilitación edificatoria propuesta parte de los condicionantes impuestos por la edificación existente. En consecuencia, se han con</w:t>
      </w:r>
      <w:r>
        <w:rPr>
          <w:rFonts w:ascii="Arial" w:hAnsi="Arial"/>
          <w:color w:val="auto"/>
          <w:sz w:val="20"/>
          <w:lang w:val="es-ES"/>
        </w:rPr>
        <w:t>siderado los criterios de construcción circular en la medida que las intervenciones concretas lo permiten.</w:t>
      </w:r>
    </w:p>
    <w:p w:rsidR="00771DE1" w:rsidRDefault="00562A5A">
      <w:pPr>
        <w:pStyle w:val="Vietaa"/>
        <w:numPr>
          <w:ilvl w:val="0"/>
          <w:numId w:val="4"/>
        </w:numPr>
        <w:rPr>
          <w:color w:val="FF0000"/>
          <w:lang w:val="es-ES"/>
        </w:rPr>
      </w:pPr>
      <w:r>
        <w:rPr>
          <w:rFonts w:ascii="Arial" w:hAnsi="Arial"/>
          <w:color w:val="auto"/>
          <w:sz w:val="20"/>
          <w:lang w:val="es-ES"/>
        </w:rPr>
        <w:t>Las técnicas de construcción consideradas apoyan la circularidad: se han adoptado las acciones necesarias para preparar su reutilización, reciclaje y</w:t>
      </w:r>
      <w:r>
        <w:rPr>
          <w:rFonts w:ascii="Arial" w:hAnsi="Arial"/>
          <w:color w:val="auto"/>
          <w:sz w:val="20"/>
          <w:lang w:val="es-ES"/>
        </w:rPr>
        <w:t xml:space="preserve"> recuperación de al menos </w:t>
      </w:r>
      <w:r>
        <w:rPr>
          <w:rFonts w:ascii="Arial" w:hAnsi="Arial"/>
          <w:color w:val="auto"/>
          <w:sz w:val="20"/>
          <w:lang w:val="es-ES"/>
        </w:rPr>
        <w:lastRenderedPageBreak/>
        <w:t>el 70% de los residuos de construcción y demolición (RCD) resultantes de las actuaciones propuestas</w:t>
      </w:r>
      <w:r>
        <w:rPr>
          <w:lang w:val="es-ES"/>
        </w:rPr>
        <w:t>.</w:t>
      </w:r>
    </w:p>
    <w:p w:rsidR="00771DE1" w:rsidRDefault="00562A5A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El incumplimiento de alguno de los requisitos establecidos en la presente declaración dará lugar a la obligación de devolver las </w:t>
      </w:r>
      <w:r>
        <w:rPr>
          <w:rFonts w:ascii="Arial" w:hAnsi="Arial" w:cs="Arial"/>
          <w:sz w:val="20"/>
          <w:szCs w:val="20"/>
          <w:lang w:eastAsia="es-ES"/>
        </w:rPr>
        <w:t>cantidades percibidas y los intereses de demora correspondientes.</w:t>
      </w:r>
      <w:bookmarkStart w:id="4" w:name="_Hlk89170142"/>
      <w:bookmarkEnd w:id="4"/>
    </w:p>
    <w:p w:rsidR="00771DE1" w:rsidRDefault="00562A5A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Firmado por el técnico competente</w:t>
      </w:r>
      <w:r>
        <w:rPr>
          <w:lang w:eastAsia="es-ES"/>
        </w:rPr>
        <w:t xml:space="preserve"> (</w:t>
      </w:r>
      <w:r>
        <w:rPr>
          <w:rFonts w:ascii="Arial" w:hAnsi="Arial" w:cs="Arial"/>
          <w:sz w:val="20"/>
          <w:szCs w:val="20"/>
          <w:lang w:eastAsia="es-ES"/>
        </w:rPr>
        <w:t>firma digital).</w:t>
      </w:r>
    </w:p>
    <w:p w:rsidR="00771DE1" w:rsidRDefault="00771DE1"/>
    <w:sectPr w:rsidR="00771DE1">
      <w:headerReference w:type="default" r:id="rId12"/>
      <w:footerReference w:type="default" r:id="rId13"/>
      <w:pgSz w:w="11906" w:h="16838"/>
      <w:pgMar w:top="2608" w:right="1701" w:bottom="851" w:left="1701" w:header="709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5A" w:rsidRDefault="00562A5A">
      <w:pPr>
        <w:spacing w:after="0" w:line="240" w:lineRule="auto"/>
      </w:pPr>
      <w:r>
        <w:separator/>
      </w:r>
    </w:p>
  </w:endnote>
  <w:endnote w:type="continuationSeparator" w:id="0">
    <w:p w:rsidR="00562A5A" w:rsidRDefault="005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E1" w:rsidRDefault="00562A5A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 w:rsidR="00FF5216">
      <w:rPr>
        <w:rFonts w:cs="Calibri"/>
        <w:noProof/>
        <w:color w:val="BFBFBF"/>
        <w:sz w:val="16"/>
      </w:rPr>
      <w:t>3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PAGE</w:instrText>
    </w:r>
    <w:r>
      <w:rPr>
        <w:rFonts w:cs="Calibri"/>
        <w:color w:val="BFBFBF"/>
        <w:sz w:val="16"/>
      </w:rPr>
      <w:fldChar w:fldCharType="separate"/>
    </w:r>
    <w:r w:rsidR="00FF5216">
      <w:rPr>
        <w:rFonts w:cs="Calibri"/>
        <w:noProof/>
        <w:color w:val="BFBFBF"/>
        <w:sz w:val="16"/>
      </w:rPr>
      <w:t>2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 w:rsidR="00FF5216">
      <w:rPr>
        <w:rFonts w:cs="Calibri"/>
        <w:noProof/>
        <w:color w:val="BFBFBF"/>
        <w:sz w:val="16"/>
      </w:rPr>
      <w:t>3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IF  "" ""</w:instrText>
    </w:r>
    <w:r w:rsidR="00FF5216">
      <w:rPr>
        <w:rFonts w:cstheme="minorHAnsi"/>
        <w:color w:val="BFBFBF" w:themeColor="background1" w:themeShade="BF"/>
        <w:sz w:val="16"/>
      </w:rPr>
      <w:fldChar w:fldCharType="separate"/>
    </w:r>
    <w:r>
      <w:rPr>
        <w:rFonts w:cs="Calibri"/>
        <w:color w:val="BFBFBF"/>
        <w:sz w:val="16"/>
      </w:rPr>
      <w:fldChar w:fldCharType="end"/>
    </w:r>
  </w:p>
  <w:p w:rsidR="00771DE1" w:rsidRDefault="00562A5A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60310" cy="6153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5A" w:rsidRDefault="00562A5A">
      <w:pPr>
        <w:spacing w:after="0" w:line="240" w:lineRule="auto"/>
      </w:pPr>
      <w:r>
        <w:separator/>
      </w:r>
    </w:p>
  </w:footnote>
  <w:footnote w:type="continuationSeparator" w:id="0">
    <w:p w:rsidR="00562A5A" w:rsidRDefault="0056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771DE1">
      <w:trPr>
        <w:cantSplit/>
        <w:trHeight w:hRule="exact" w:val="260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:rsidR="00771DE1" w:rsidRDefault="00562A5A">
          <w:pPr>
            <w:pStyle w:val="Encabezado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ES"/>
            </w:rPr>
            <w:drawing>
              <wp:inline distT="0" distB="0" distL="0" distR="0">
                <wp:extent cx="7538085" cy="16560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8085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1DE1" w:rsidRDefault="00771DE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54A"/>
    <w:multiLevelType w:val="multilevel"/>
    <w:tmpl w:val="F30CAF5C"/>
    <w:lvl w:ilvl="0">
      <w:start w:val="1"/>
      <w:numFmt w:val="lowerLetter"/>
      <w:pStyle w:val="Vietaa"/>
      <w:lvlText w:val="%1)"/>
      <w:lvlJc w:val="left"/>
      <w:pPr>
        <w:tabs>
          <w:tab w:val="num" w:pos="0"/>
        </w:tabs>
        <w:ind w:left="372" w:hanging="360"/>
      </w:pPr>
      <w:rPr>
        <w:rFonts w:ascii="Corbel" w:hAnsi="Corbel"/>
        <w:color w:val="009CC4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2" w:hanging="180"/>
      </w:pPr>
    </w:lvl>
  </w:abstractNum>
  <w:abstractNum w:abstractNumId="1" w15:restartNumberingAfterBreak="0">
    <w:nsid w:val="5FFF0E8E"/>
    <w:multiLevelType w:val="multilevel"/>
    <w:tmpl w:val="35DA72E2"/>
    <w:lvl w:ilvl="0">
      <w:start w:val="1"/>
      <w:numFmt w:val="decimal"/>
      <w:pStyle w:val="1Numsincolor"/>
      <w:lvlText w:val="%1."/>
      <w:lvlJc w:val="left"/>
      <w:pPr>
        <w:tabs>
          <w:tab w:val="num" w:pos="0"/>
        </w:tabs>
        <w:ind w:left="241" w:hanging="36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7" w:hanging="180"/>
      </w:pPr>
    </w:lvl>
  </w:abstractNum>
  <w:abstractNum w:abstractNumId="2" w15:restartNumberingAfterBreak="0">
    <w:nsid w:val="65F649F0"/>
    <w:multiLevelType w:val="multilevel"/>
    <w:tmpl w:val="640C9954"/>
    <w:lvl w:ilvl="0">
      <w:start w:val="1"/>
      <w:numFmt w:val="bullet"/>
      <w:lvlText w:val="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C22C40"/>
    <w:multiLevelType w:val="multilevel"/>
    <w:tmpl w:val="A7004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345708"/>
    <w:multiLevelType w:val="multilevel"/>
    <w:tmpl w:val="2DACAF7C"/>
    <w:lvl w:ilvl="0">
      <w:start w:val="1"/>
      <w:numFmt w:val="lowerLetter"/>
      <w:pStyle w:val="aVietasincolo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E1"/>
    <w:rsid w:val="00562A5A"/>
    <w:rsid w:val="00771DE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46EF-937C-4194-AEAE-A1A3A80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D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027B39"/>
  </w:style>
  <w:style w:type="character" w:customStyle="1" w:styleId="TextoindependienteCar">
    <w:name w:val="Texto independiente Car"/>
    <w:basedOn w:val="Fuentedeprrafopredeter"/>
    <w:link w:val="Textoindependiente"/>
    <w:qFormat/>
    <w:rsid w:val="004312D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VietaaCar">
    <w:name w:val="Viñeta a) Car"/>
    <w:basedOn w:val="Fuentedeprrafopredeter"/>
    <w:link w:val="Vietaa"/>
    <w:qFormat/>
    <w:rsid w:val="004312DD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aVietasincolorCar">
    <w:name w:val="a) Viñeta sin color Car"/>
    <w:basedOn w:val="Fuentedeprrafopredeter"/>
    <w:qFormat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1NumsincolorCar">
    <w:name w:val="1. Num sin color Car"/>
    <w:basedOn w:val="Fuentedeprrafopredeter"/>
    <w:link w:val="1Numsincolor"/>
    <w:qFormat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4312DD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27B39"/>
    <w:pPr>
      <w:ind w:left="720"/>
      <w:contextualSpacing/>
    </w:pPr>
  </w:style>
  <w:style w:type="paragraph" w:customStyle="1" w:styleId="Vietaa">
    <w:name w:val="Viñeta a)"/>
    <w:basedOn w:val="Normal"/>
    <w:link w:val="VietaaCar"/>
    <w:qFormat/>
    <w:rsid w:val="004312DD"/>
    <w:pPr>
      <w:numPr>
        <w:numId w:val="1"/>
      </w:numPr>
      <w:spacing w:before="120" w:after="120" w:line="240" w:lineRule="auto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paragraph" w:customStyle="1" w:styleId="aVietasincolor">
    <w:name w:val="a) Viñeta sin color"/>
    <w:basedOn w:val="Prrafodelista"/>
    <w:qFormat/>
    <w:rsid w:val="004312DD"/>
    <w:pPr>
      <w:numPr>
        <w:numId w:val="2"/>
      </w:numPr>
      <w:spacing w:before="100" w:after="100" w:line="240" w:lineRule="auto"/>
      <w:contextualSpacing w:val="0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1Numsincolor">
    <w:name w:val="1. Num sin color"/>
    <w:basedOn w:val="Normal"/>
    <w:link w:val="1NumsincolorCar"/>
    <w:qFormat/>
    <w:rsid w:val="004312DD"/>
    <w:pPr>
      <w:numPr>
        <w:numId w:val="3"/>
      </w:numPr>
      <w:spacing w:before="100" w:after="100" w:line="240" w:lineRule="auto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4312DD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moncloa.gob.es/temas/fondos-recuperacion/Documents/16062021-Componente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e.es/doue/2020/198/L00013-0004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dc:description/>
  <cp:lastModifiedBy>jaime</cp:lastModifiedBy>
  <cp:revision>2</cp:revision>
  <dcterms:created xsi:type="dcterms:W3CDTF">2022-10-27T10:56:00Z</dcterms:created>
  <dcterms:modified xsi:type="dcterms:W3CDTF">2022-10-27T10:56:00Z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